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rPr>
          <w:rFonts w:ascii="微软雅黑" w:hAnsi="微软雅黑" w:eastAsia="微软雅黑" w:cs="微软雅黑"/>
          <w:color w:val="333333"/>
          <w:sz w:val="39"/>
          <w:szCs w:val="39"/>
        </w:rPr>
      </w:pPr>
      <w:r>
        <w:rPr>
          <w:rFonts w:hint="eastAsia" w:ascii="微软雅黑" w:hAnsi="微软雅黑" w:eastAsia="微软雅黑" w:cs="微软雅黑"/>
          <w:color w:val="333333"/>
          <w:sz w:val="39"/>
          <w:szCs w:val="39"/>
          <w:bdr w:val="none" w:color="auto" w:sz="0" w:space="0"/>
        </w:rPr>
        <w:t>2019年河北医科大学推荐免试硕士研究生招生简章</w:t>
      </w:r>
    </w:p>
    <w:p>
      <w:pPr>
        <w:keepNext w:val="0"/>
        <w:keepLines w:val="0"/>
        <w:widowControl/>
        <w:suppressLineNumbers w:val="0"/>
        <w:pBdr>
          <w:right w:val="none" w:color="auto" w:sz="0" w:space="0"/>
        </w:pBdr>
        <w:spacing w:after="300" w:afterAutospacing="0" w:line="23" w:lineRule="atLeast"/>
        <w:jc w:val="left"/>
        <w:rPr>
          <w:color w:val="616466"/>
          <w:sz w:val="21"/>
          <w:szCs w:val="21"/>
        </w:rPr>
      </w:pPr>
      <w:r>
        <w:rPr>
          <w:rFonts w:ascii="宋体" w:hAnsi="宋体" w:eastAsia="宋体" w:cs="宋体"/>
          <w:color w:val="616466"/>
          <w:kern w:val="0"/>
          <w:sz w:val="21"/>
          <w:szCs w:val="21"/>
          <w:bdr w:val="none" w:color="auto" w:sz="0" w:space="0"/>
          <w:shd w:val="clear" w:fill="FFFFFF"/>
          <w:lang w:val="en-US" w:eastAsia="zh-CN" w:bidi="ar"/>
        </w:rPr>
        <w:drawing>
          <wp:inline distT="0" distB="0" distL="114300" distR="114300">
            <wp:extent cx="457200" cy="457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7200" cy="457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color w:val="616466"/>
          <w:sz w:val="21"/>
          <w:szCs w:val="21"/>
          <w:bdr w:val="none" w:color="auto" w:sz="0" w:space="0"/>
        </w:rPr>
        <w:t>一、招生计划我校2019年计划招收推荐免试硕士研究生225名（其中长学制转段生109名）。二、报考条件（一）拥护中国共产党的领导，品德良好，遵纪守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8FB"/>
        <w:spacing w:before="0" w:beforeAutospacing="0" w:after="0" w:afterAutospacing="0" w:line="315" w:lineRule="atLeast"/>
        <w:ind w:left="0" w:right="75"/>
        <w:jc w:val="center"/>
      </w:pPr>
      <w:r>
        <w:rPr>
          <w:color w:val="999999"/>
          <w:sz w:val="18"/>
          <w:szCs w:val="18"/>
          <w:bdr w:val="none" w:color="auto" w:sz="0" w:space="0"/>
          <w:shd w:val="clear" w:fill="F6F8FB"/>
        </w:rPr>
        <w:t>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color w:val="999999"/>
          <w:sz w:val="18"/>
          <w:szCs w:val="18"/>
          <w:bdr w:val="none" w:color="auto" w:sz="0" w:space="0"/>
        </w:rPr>
        <w:t>佚名</w:t>
      </w:r>
    </w:p>
    <w:p>
      <w:pPr>
        <w:keepNext w:val="0"/>
        <w:keepLines w:val="0"/>
        <w:widowControl/>
        <w:suppressLineNumbers w:val="0"/>
        <w:spacing w:before="150" w:beforeAutospacing="0" w:after="750" w:afterAutospacing="0"/>
        <w:ind w:left="300"/>
        <w:jc w:val="left"/>
        <w:rPr>
          <w:color w:val="999999"/>
          <w:sz w:val="18"/>
          <w:szCs w:val="18"/>
        </w:rPr>
      </w:pPr>
      <w:r>
        <w:rPr>
          <w:rFonts w:ascii="宋体" w:hAnsi="宋体" w:eastAsia="宋体" w:cs="宋体"/>
          <w:color w:val="999999"/>
          <w:kern w:val="0"/>
          <w:sz w:val="18"/>
          <w:szCs w:val="18"/>
          <w:bdr w:val="none" w:color="auto" w:sz="0" w:space="0"/>
          <w:lang w:val="en-US" w:eastAsia="zh-CN" w:bidi="ar"/>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i w:val="0"/>
          <w:color w:val="999999"/>
          <w:kern w:val="0"/>
          <w:sz w:val="18"/>
          <w:szCs w:val="18"/>
          <w:lang w:val="en-US" w:eastAsia="zh-CN" w:bidi="ar"/>
        </w:rPr>
        <w:t>2783</w:t>
      </w:r>
      <w:r>
        <w:rPr>
          <w:rFonts w:ascii="宋体" w:hAnsi="宋体" w:eastAsia="宋体" w:cs="宋体"/>
          <w:color w:val="999999"/>
          <w:kern w:val="0"/>
          <w:sz w:val="18"/>
          <w:szCs w:val="18"/>
          <w:lang w:val="en-US" w:eastAsia="zh-CN" w:bidi="ar"/>
        </w:rPr>
        <w:t>次阅读</w:t>
      </w:r>
    </w:p>
    <w:p>
      <w:pPr>
        <w:keepNext w:val="0"/>
        <w:keepLines w:val="0"/>
        <w:widowControl/>
        <w:suppressLineNumbers w:val="0"/>
        <w:spacing w:before="150" w:beforeAutospacing="0" w:after="750" w:afterAutospacing="0"/>
        <w:jc w:val="left"/>
        <w:rPr>
          <w:color w:val="999999"/>
          <w:sz w:val="18"/>
          <w:szCs w:val="18"/>
        </w:rPr>
      </w:pPr>
      <w:r>
        <w:rPr>
          <w:rFonts w:ascii="宋体" w:hAnsi="宋体" w:eastAsia="宋体" w:cs="宋体"/>
          <w:color w:val="999999"/>
          <w:kern w:val="0"/>
          <w:sz w:val="18"/>
          <w:szCs w:val="18"/>
          <w:lang w:val="en-US" w:eastAsia="zh-CN" w:bidi="ar"/>
        </w:rPr>
        <w:t>2018-09-13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　　</w:t>
      </w:r>
      <w:r>
        <w:rPr>
          <w:rStyle w:val="5"/>
          <w:color w:val="333333"/>
          <w:sz w:val="24"/>
          <w:szCs w:val="24"/>
          <w:bdr w:val="none" w:color="auto" w:sz="0" w:space="0"/>
        </w:rPr>
        <w:t>一、招生计划</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我校2019年计划招收推荐免试硕士研究生225名（其中长学制转段生109名）。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二、报考条件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（一）拥护中国共产党的领导，品德良好，遵纪守法。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（二）普通本科应届生(2019年9月1日前须取得毕业证书)或毕业生。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（三）生物学科（代码0710**）各专业只接收生物学和医学门类相关专业。</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（四）临床医学（代码1051**）专业学位硕士，只接收参加全国高考录取为五年制及以上本科全日制西医临床医学专业的应届生或毕业生报考。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五）麻醉学、医学影像学、精神医学、儿科学、眼视光医学专业的五年制本科应届生或毕业生只能报考对应学科麻醉学（代码105116）、影像医学与核医学（代码105107）、精神病与精神卫生学（代码105105）、儿科学（代码105102）、眼科学（代码105111）的专业学位硕士。</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（六）口腔医学（代码105200）专业学位硕士，只接收参加全国高考录取为五年制及以上本科全日制口腔医学专业的应届生或毕业生报考。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（七）农村定向免费医学本科生不得违反协议报考，否则一经查实取消研究生资格。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三、学费标准及奖助办法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根据国家规定，研究生教育全面实行收费政策。学术型研究生8000元/年，专业学位研究生7000元/年，学校设立学业奖学金一等奖8000元/年、二等奖4000元/年、三等奖2000元/年，另外学校还设立助学金及助教、助研和助管岗位资助学生学习。报考我校生理学、生物化学与分子生物学、人体解剖与组织胚胎学、免疫学、病理学与病理生理学、法医学、药理学专业的推免生，录取后均享受下列优惠政策：①优先安排硕博连读；②免学费并每年给予8000元补助。详情请在我校研究生学院网站查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四、其它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（一）我校统招硕士研究生学制3年，全日制培养。</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2018年9月28日起考生可在中国研招网开始报名，报名时填写的材料必须真实，并由本人亲自填写，如发现弄虚作假，无论招生培养工作进行到任一环节，都将被取消资格，被我校录取的推免生不得再参加2019年统考研究生的报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（三）报考我校的考生应身体健康，符合《河北医科大学研究生招生体检规定》，否则不予录取。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（四）报考临床医学各专业考生复试时须测试临床技能。</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（五）拟招收推免生人数以国家最后推免生系统确认的录取人数为准。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（六）考生网报时，下列项目必须确保准确无误，否则，责任考生自负。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1、考生网报在填报有研究方向的专业时，必须注明研究方向及代码。</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2、填写联系地址、邮编、电话等一定确保准确、有效，从报名到录取结束（即从</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2018年9月末--2019年9月）。</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3、填写数字必须用“半角”字符。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4、“出生日期”必须与身份证一致。</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单位代码：10089</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联系人：康永彬、高华</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联系电话：0311--86266422</w:t>
      </w:r>
    </w:p>
    <w:tbl>
      <w:tblPr>
        <w:tblW w:w="9734" w:type="dxa"/>
        <w:jc w:val="center"/>
        <w:tblInd w:w="-564" w:type="dxa"/>
        <w:shd w:val="clear"/>
        <w:tblLayout w:type="fixed"/>
        <w:tblCellMar>
          <w:top w:w="0" w:type="dxa"/>
          <w:left w:w="0" w:type="dxa"/>
          <w:bottom w:w="0" w:type="dxa"/>
          <w:right w:w="0" w:type="dxa"/>
        </w:tblCellMar>
      </w:tblPr>
      <w:tblGrid>
        <w:gridCol w:w="3776"/>
        <w:gridCol w:w="2934"/>
        <w:gridCol w:w="1196"/>
        <w:gridCol w:w="1828"/>
      </w:tblGrid>
      <w:tr>
        <w:tblPrEx>
          <w:shd w:val="clear"/>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专业</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研究方向</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接收推免</w:t>
            </w:r>
          </w:p>
        </w:tc>
        <w:tc>
          <w:tcPr>
            <w:tcW w:w="1828"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类型</w:t>
            </w: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071003生理学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w:t>
            </w:r>
          </w:p>
        </w:tc>
        <w:tc>
          <w:tcPr>
            <w:tcW w:w="1828" w:type="dxa"/>
            <w:vMerge w:val="restart"/>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全日制学术学位</w:t>
            </w: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071010生物化学与分子生物学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100101人体解剖与组织胚胎学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restart"/>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01人体解剖学</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02组织胚胎学</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100102免疫学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100103病原生物学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100104病理学与病理生理学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2</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restart"/>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01病理学</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02病理生理学</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100105法医学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2</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100201内科学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2</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restart"/>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01心血管病</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02血液病</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03呼吸系病</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04消化系病</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05内分泌与代谢病</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06肾病</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100202儿科学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100204神经病学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100207影像医学与核医学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restart"/>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01放射医学</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02超声</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100208临床检验诊断学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2</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100210外科学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2</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restart"/>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01胸外</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02心外</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03骨外</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04泌尿外</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05神经外</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07普外</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100211妇产科学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100214肿瘤学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100215康复医学与理疗学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100217麻醉学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100302口腔临床医学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2</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restart"/>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01口外</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02口内</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03修复</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04正畸</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100400公共卫生与预防医学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5</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restart"/>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01流行病与卫生统计学</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02劳动卫生与环境卫生学</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03营养与食品卫生学</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04卫生毒理学</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05卫生检验学</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06社会医学与卫生事业管理</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07医学教育学</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100601中西医结合基础</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100602中西医结合临床</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2</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100701药物化学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100702药剂学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100704药物分析学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100706药理学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2</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1007Z1临床药学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2</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101000医学技术</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2</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101100护理学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6</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105101内科学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11</w:t>
            </w:r>
          </w:p>
        </w:tc>
        <w:tc>
          <w:tcPr>
            <w:tcW w:w="1828" w:type="dxa"/>
            <w:vMerge w:val="restart"/>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全日制专业学位</w:t>
            </w:r>
          </w:p>
        </w:tc>
      </w:tr>
      <w:tr>
        <w:tblPrEx>
          <w:tblLayout w:type="fixed"/>
          <w:tblCellMar>
            <w:top w:w="0" w:type="dxa"/>
            <w:left w:w="0" w:type="dxa"/>
            <w:bottom w:w="0" w:type="dxa"/>
            <w:right w:w="0" w:type="dxa"/>
          </w:tblCellMar>
        </w:tblPrEx>
        <w:trPr>
          <w:jc w:val="center"/>
        </w:trPr>
        <w:tc>
          <w:tcPr>
            <w:tcW w:w="3776" w:type="dxa"/>
            <w:vMerge w:val="restart"/>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01心血管病</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02血液病</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03呼吸系病</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04消化系病</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05内分泌与代谢病</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06肾病</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07风湿病</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08传染病</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105102儿科学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4</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105104神经病学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6</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105105精神病与精神卫生学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2</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105106皮肤病与性病学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105107影像医学与核医学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5</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restart"/>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01放射医学</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02超声</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03核医学</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105109外科学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restart"/>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01胸外</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02心外</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03骨外</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04泌尿外</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05神经外</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06烧伤整形</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07普外</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105110妇产科学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5</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105111眼科学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2</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105112耳鼻咽喉科学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2</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105113肿瘤学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4</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105114康复医学与理疗学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3</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105116麻醉学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4</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105117急诊医学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2</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105127全科医学（不授博士学位）</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105128临床病理学（不授博士学位）</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105200口腔医学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5</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restart"/>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01口外</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02口内</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03修复</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04正畸</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jc w:val="center"/>
        </w:trPr>
        <w:tc>
          <w:tcPr>
            <w:tcW w:w="377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105500药学</w:t>
            </w:r>
          </w:p>
        </w:tc>
        <w:tc>
          <w:tcPr>
            <w:tcW w:w="2934"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c>
          <w:tcPr>
            <w:tcW w:w="1196" w:type="dxa"/>
            <w:tcBorders>
              <w:bottom w:val="single" w:color="E5E5E5" w:sz="6" w:space="0"/>
              <w:right w:val="single" w:color="E5E5E5" w:sz="6"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w:t>
            </w:r>
          </w:p>
        </w:tc>
        <w:tc>
          <w:tcPr>
            <w:tcW w:w="1828" w:type="dxa"/>
            <w:vMerge w:val="continue"/>
            <w:tcBorders>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r>
    </w:tbl>
    <w:p>
      <w:pPr>
        <w:keepNext w:val="0"/>
        <w:keepLines w:val="0"/>
        <w:widowControl/>
        <w:suppressLineNumbers w:val="0"/>
        <w:pBdr>
          <w:top w:val="none" w:color="auto" w:sz="0" w:space="0"/>
          <w:left w:val="none" w:color="auto" w:sz="0" w:space="0"/>
          <w:bottom w:val="single" w:color="DDDDDD" w:sz="6" w:space="11"/>
          <w:right w:val="none" w:color="auto" w:sz="0" w:space="0"/>
        </w:pBdr>
        <w:spacing w:after="300" w:afterAutospacing="0" w:line="480" w:lineRule="atLeast"/>
        <w:jc w:val="left"/>
      </w:pPr>
      <w:r>
        <w:rPr>
          <w:rFonts w:ascii="宋体" w:hAnsi="宋体" w:eastAsia="宋体" w:cs="宋体"/>
          <w:kern w:val="0"/>
          <w:sz w:val="24"/>
          <w:szCs w:val="24"/>
          <w:bdr w:val="none" w:color="auto" w:sz="0" w:space="0"/>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jc w:val="left"/>
      </w:pP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"http://yz.kaoyan.com/hebmu/tuimian/5b9a1d55ef4d4.html" \o "分享到新浪微博"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"http://yz.kaoyan.com/hebmu/tuimian/5b9a1d55ef4d4.html" \o "分享到人人网"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"http://yz.kaoyan.com/hebmu/tuimian/5b9a1d55ef4d4.html" \o "分享到腾讯微博"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"http://yz.kaoyan.com/hebmu/tuimian/5b9a1d55ef4d4.html" \o "分享到QQ空间"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E62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2020-12-25T01:34:50Z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